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4C" w:rsidRPr="003B324C" w:rsidRDefault="003B324C" w:rsidP="003B324C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  <w:r w:rsidRPr="003B324C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3B324C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ОРГАНИЗАЦИИ И ОСУЩЕСТВЛЕНИЯ ОБРАЗОВАТЕЛЬНОЙ ДЕЯТЕЛЬНОСТИ</w:t>
      </w:r>
      <w:r w:rsidRPr="003B324C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ПО ДОПОЛНИТЕЛЬНЫМ ПРОФЕССИОНАЛЬНЫМ ПРОГРАММАМ</w:t>
      </w:r>
    </w:p>
    <w:p w:rsidR="003B324C" w:rsidRPr="003B324C" w:rsidRDefault="003B324C" w:rsidP="003B324C">
      <w:pPr>
        <w:shd w:val="clear" w:color="auto" w:fill="FFFFFF"/>
        <w:spacing w:after="150" w:line="285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</w:pPr>
      <w:r w:rsidRPr="003B324C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t>Приказ Министерства образования и науки Российской Федерации</w:t>
      </w:r>
      <w:r w:rsidRPr="003B324C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br/>
        <w:t>от 01 июля 2013 г. № 499</w:t>
      </w:r>
    </w:p>
    <w:p w:rsidR="003B324C" w:rsidRPr="003B324C" w:rsidRDefault="003B324C" w:rsidP="003B324C">
      <w:pPr>
        <w:shd w:val="clear" w:color="auto" w:fill="FFFFFF"/>
        <w:spacing w:after="150" w:line="285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</w:pPr>
      <w:r w:rsidRPr="003B324C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t>Зарегистрировано Министерством юстиции Российской Федерации</w:t>
      </w:r>
      <w:r w:rsidRPr="003B324C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br/>
        <w:t>20 августа 2013 г. Регистрационный № 29444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" w:tooltip="Федеральный закон от 29.12.2012 № 273-ФЗ (ред. от 23.07.2013) &quot;Об образовании в Российской Федерации&quot;&lt;br /&gt;&#10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прилагаемый Порядок организации и осуществления образовательной деятельности по дополнительным профессиональным программам.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Настоящий приказ вступает в силу с 1 сентября 2013 года.</w:t>
      </w:r>
    </w:p>
    <w:p w:rsidR="003B324C" w:rsidRPr="003B324C" w:rsidRDefault="003B324C" w:rsidP="003B324C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Д.В.ЛИВАНОВ</w:t>
      </w:r>
    </w:p>
    <w:p w:rsidR="003B324C" w:rsidRPr="003B324C" w:rsidRDefault="003B324C" w:rsidP="003B324C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</w:t>
      </w: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bookmarkStart w:id="0" w:name="_GoBack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приказом Министерства</w:t>
      </w: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образования и науки</w:t>
      </w: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Российской Федерации</w:t>
      </w: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1 июля 2013 г. № 499</w:t>
      </w:r>
      <w:bookmarkEnd w:id="0"/>
    </w:p>
    <w:p w:rsidR="003B324C" w:rsidRPr="003B324C" w:rsidRDefault="003B324C" w:rsidP="003B324C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3B324C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ПОРЯДОК</w:t>
      </w:r>
      <w:r w:rsidRPr="003B324C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  <w:t>ОРГАНИЗАЦИИ И ОСУЩЕСТВЛЕНИЯ ОБРАЗОВАТЕЛЬНОЙ ДЕЯТЕЛЬНОСТИ</w:t>
      </w:r>
      <w:r w:rsidRPr="003B324C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  <w:t>ПО ДОПОЛНИТЕЛЬНЫМ ПРОФЕССИОНАЛЬНЫМ ПРОГРАММАМ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6" w:anchor="st76_3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76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Организация осуществляет </w:t>
      </w:r>
      <w:proofErr w:type="gramStart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 </w:t>
      </w:r>
      <w:hyperlink r:id="rId7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 Собрание законодательства Российской Федерации, 2012, № 53, ст. 7598; 2013, № 19, ст. 2326.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&lt;2&gt; </w:t>
      </w:r>
      <w:hyperlink r:id="rId8" w:anchor="st76_6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76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p6"/>
      <w:bookmarkEnd w:id="1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9" w:anchor="st76_2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76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0" w:anchor="st76_4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76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1" w:anchor="st76_5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76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структуре программы профессиональной переподготовки должны быть представлены: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8. </w:t>
      </w:r>
      <w:proofErr w:type="gramStart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2" w:anchor="st76_9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76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p9"/>
      <w:bookmarkEnd w:id="2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3" w:anchor="st13_4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Части 4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 </w:t>
      </w:r>
      <w:hyperlink r:id="rId14" w:anchor="st13_5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5 статьи 13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5" w:anchor="st2_9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 9 статьи 2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 &lt;1&gt;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6" w:anchor="st76_10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10 статьи 76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11. </w:t>
      </w:r>
      <w:proofErr w:type="gramStart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Результаты обучения по программе профессиональной переподготовки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  <w:proofErr w:type="gramEnd"/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p12"/>
      <w:bookmarkEnd w:id="3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7" w:anchor="st76_13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13 статьи 76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p13"/>
      <w:bookmarkEnd w:id="4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самостоятельную работу с учебными изданиями;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приобретение профессиональных и организаторских навыков;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изучение организации и технологии производства, работ;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непосредственное участие в планировании работы организации;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работу с технической, нормативной и другой документацией;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участие в совещаниях, деловых встречах.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8" w:anchor="st13_3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13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Обучение</w:t>
      </w:r>
      <w:proofErr w:type="gramEnd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9" w:anchor="st13_1_3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 3 части 1 статьи 34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20" w:anchor="st13_1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13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17. </w:t>
      </w:r>
      <w:proofErr w:type="gramStart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</w:t>
      </w:r>
      <w:proofErr w:type="gramEnd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p19"/>
      <w:bookmarkEnd w:id="5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21" w:anchor="st76_15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15 статьи 76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</w:t>
      </w: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профессиональной программы и (или) отчисленным из организации, выдается справка об обучении или о периоде </w:t>
      </w:r>
      <w:proofErr w:type="gramStart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 по образцу</w:t>
      </w:r>
      <w:proofErr w:type="gramEnd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самостоятельно устанавливаемому организацией.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 о квалификации выдается на бланке, являющемся защищенным от подделок полиграфической продукцией, образец которого самостоятельно установлен организацией.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p20"/>
      <w:bookmarkEnd w:id="6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22" w:anchor="st76_16" w:tooltip="Федеральный закон от 29.12.2012 № 273-ФЗ (ред. от 23.07.2013) &quot;Об образовании в Российской Федерации&quot;{КонсультантПлюс}" w:history="1">
        <w:r w:rsidRPr="003B324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16 статьи 76</w:t>
        </w:r>
      </w:hyperlink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p21"/>
      <w:bookmarkEnd w:id="7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21. Оценка качества освоения дополнительных профессиональных программ проводится в отношении: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3B324C" w:rsidRPr="003B324C" w:rsidRDefault="003B324C" w:rsidP="003B324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p22"/>
      <w:bookmarkEnd w:id="8"/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22. Оценка качества освоения дополнительных профессиональных программ проводится в следующих формах: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внутренний мониторинг качества образования;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внешняя независимая оценка качества образования.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3B324C" w:rsidRPr="003B324C" w:rsidRDefault="003B324C" w:rsidP="003B324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3B324C" w:rsidRPr="003B324C" w:rsidRDefault="003B324C" w:rsidP="003B324C">
      <w:pPr>
        <w:shd w:val="clear" w:color="auto" w:fill="FFFFFF"/>
        <w:spacing w:before="75"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3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3B324C" w:rsidRPr="003B324C" w:rsidRDefault="003B324C" w:rsidP="003B324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59AA"/>
          <w:sz w:val="20"/>
          <w:szCs w:val="20"/>
          <w:lang w:eastAsia="ru-RU"/>
        </w:rPr>
      </w:pPr>
      <w:hyperlink r:id="rId23" w:history="1">
        <w:r w:rsidRPr="003B324C">
          <w:rPr>
            <w:rFonts w:ascii="inherit" w:eastAsia="Times New Roman" w:hAnsi="inherit" w:cs="Arial"/>
            <w:color w:val="0079CC"/>
            <w:sz w:val="20"/>
            <w:szCs w:val="20"/>
            <w:u w:val="single"/>
            <w:bdr w:val="none" w:sz="0" w:space="0" w:color="auto" w:frame="1"/>
            <w:lang w:eastAsia="ru-RU"/>
          </w:rPr>
          <w:t>Дополнительное профессиональное образование</w:t>
        </w:r>
      </w:hyperlink>
    </w:p>
    <w:p w:rsidR="003B324C" w:rsidRPr="003B324C" w:rsidRDefault="003B324C" w:rsidP="003B324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59AA"/>
          <w:sz w:val="20"/>
          <w:szCs w:val="20"/>
          <w:lang w:eastAsia="ru-RU"/>
        </w:rPr>
      </w:pPr>
      <w:hyperlink r:id="rId24" w:history="1">
        <w:r w:rsidRPr="003B324C">
          <w:rPr>
            <w:rFonts w:ascii="inherit" w:eastAsia="Times New Roman" w:hAnsi="inherit" w:cs="Arial"/>
            <w:color w:val="0079CC"/>
            <w:sz w:val="20"/>
            <w:szCs w:val="20"/>
            <w:u w:val="single"/>
            <w:bdr w:val="none" w:sz="0" w:space="0" w:color="auto" w:frame="1"/>
            <w:lang w:eastAsia="ru-RU"/>
          </w:rPr>
          <w:t>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6E65AC" w:rsidRDefault="006E65AC"/>
    <w:sectPr w:rsidR="006E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25"/>
    <w:rsid w:val="003B324C"/>
    <w:rsid w:val="006E65AC"/>
    <w:rsid w:val="00E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51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xn--273--84d1f.xn--p1ai/zakonodatelstvo/federalnyy-zakon-ot-29-dekabrya-2012-g-no-273-fz-ob-obrazovanii-v-rf" TargetMode="Externa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xn--273--84d1f.xn--p1ai/normativnye_akty/osobennosti-realizacii-nekotoryh-vidov-obrazovatelnyh-programm-i-polucheniya" TargetMode="External"/><Relationship Id="rId5" Type="http://schemas.openxmlformats.org/officeDocument/2006/relationships/hyperlink" Target="consultantplus://offline/ref=427B08EB0107D44296824BB9D1D485DE774EC8BA75F1BE969A79B7F22D30813B24EE9EF896F82055t741O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hyperlink" Target="http://xn--273--84d1f.xn--p1ai/normativnye_akty/dopolnitelnoe-professionalnoe-obrazovanie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3275</Words>
  <Characters>18670</Characters>
  <Application>Microsoft Office Word</Application>
  <DocSecurity>0</DocSecurity>
  <Lines>155</Lines>
  <Paragraphs>43</Paragraphs>
  <ScaleCrop>false</ScaleCrop>
  <Company/>
  <LinksUpToDate>false</LinksUpToDate>
  <CharactersWithSpaces>21902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Русинова</dc:creator>
  <cp:keywords/>
  <dc:description/>
  <cp:lastModifiedBy>Людмила И. Русинова</cp:lastModifiedBy>
  <cp:revision>2</cp:revision>
  <dcterms:created xsi:type="dcterms:W3CDTF">2013-11-19T04:12:00Z</dcterms:created>
  <dcterms:modified xsi:type="dcterms:W3CDTF">2013-11-19T04:15:00Z</dcterms:modified>
</cp:coreProperties>
</file>